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CURRENT REPORT</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FLUENT,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001-37893</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77-0688094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2960" w:space="720"/>
            <w:col w:w="2500"/>
          </w:cols>
          <w:pgMar w:left="320" w:top="754" w:right="33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300 Vesey Street, 9th Floor</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10282</w:t>
      </w:r>
    </w:p>
    <w:p>
      <w:pPr>
        <w:spacing w:after="0" w:line="31"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400" w:space="720"/>
            <w:col w:w="312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669-7272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191135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39"/>
        </w:trPr>
        <w:tc>
          <w:tcPr>
            <w:tcW w:w="456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$0.0005 par value per share</w:t>
            </w:r>
          </w:p>
        </w:tc>
        <w:tc>
          <w:tcPr>
            <w:tcW w:w="2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FLNT</w:t>
            </w:r>
          </w:p>
        </w:tc>
        <w:tc>
          <w:tcPr>
            <w:tcW w:w="16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October 29, 2020, Fluent, Inc. issued a press release announcing third quarter 2020 financial results. A copy of the press release is furnished herewith as Exhibit 99.1.</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included herein and in Exhibit 99.1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760" w:type="dxa"/>
            <w:vAlign w:val="bottom"/>
            <w:shd w:val="clear" w:color="auto" w:fill="000000"/>
          </w:tcPr>
          <w:p>
            <w:pPr>
              <w:spacing w:after="0" w:line="20" w:lineRule="exact"/>
              <w:rPr>
                <w:sz w:val="1"/>
                <w:szCs w:val="1"/>
                <w:color w:val="auto"/>
              </w:rPr>
            </w:pPr>
          </w:p>
        </w:tc>
      </w:tr>
      <w:tr>
        <w:trPr>
          <w:trHeight w:val="426"/>
        </w:trPr>
        <w:tc>
          <w:tcPr>
            <w:tcW w:w="118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10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Press release, dated October 29, 2020</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574"/>
        </w:trPr>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65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Fluent, Inc.</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2020</w:t>
            </w: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Schulke</w:t>
            </w:r>
          </w:p>
        </w:tc>
      </w:tr>
      <w:tr>
        <w:trPr>
          <w:trHeight w:val="191"/>
        </w:trPr>
        <w:tc>
          <w:tcPr>
            <w:tcW w:w="3260" w:type="dxa"/>
            <w:vAlign w:val="bottom"/>
          </w:tcPr>
          <w:p>
            <w:pPr>
              <w:spacing w:after="0"/>
              <w:rPr>
                <w:sz w:val="16"/>
                <w:szCs w:val="16"/>
                <w:color w:val="auto"/>
              </w:rPr>
            </w:pPr>
          </w:p>
        </w:tc>
        <w:tc>
          <w:tcPr>
            <w:tcW w:w="284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Ryan Schulke</w:t>
            </w:r>
          </w:p>
        </w:tc>
      </w:tr>
      <w:tr>
        <w:trPr>
          <w:trHeight w:val="234"/>
        </w:trPr>
        <w:tc>
          <w:tcPr>
            <w:tcW w:w="326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00"/>
          </w:cols>
          <w:pgMar w:left="320" w:top="57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Fluent Announces Third Quarter 2020 Financial Results</w:t>
      </w:r>
    </w:p>
    <w:p>
      <w:pPr>
        <w:spacing w:after="0" w:line="225" w:lineRule="exact"/>
        <w:rPr>
          <w:sz w:val="20"/>
          <w:szCs w:val="20"/>
          <w:color w:val="auto"/>
        </w:rPr>
      </w:pPr>
    </w:p>
    <w:p>
      <w:pPr>
        <w:ind w:left="600" w:hanging="208"/>
        <w:spacing w:after="0"/>
        <w:tabs>
          <w:tab w:leader="none" w:pos="6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Q3 2020 revenue of $78.3 million, up 21% over Q3 2019</w:t>
      </w:r>
    </w:p>
    <w:p>
      <w:pPr>
        <w:spacing w:after="0" w:line="31" w:lineRule="exact"/>
        <w:rPr>
          <w:rFonts w:ascii="Times New Roman" w:cs="Times New Roman" w:eastAsia="Times New Roman" w:hAnsi="Times New Roman"/>
          <w:sz w:val="18"/>
          <w:szCs w:val="18"/>
          <w:b w:val="1"/>
          <w:bCs w:val="1"/>
          <w:color w:val="auto"/>
        </w:rPr>
      </w:pPr>
    </w:p>
    <w:p>
      <w:pPr>
        <w:ind w:left="600" w:hanging="208"/>
        <w:spacing w:after="0"/>
        <w:tabs>
          <w:tab w:leader="none" w:pos="6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of $1.2 million, or $0.01 per share</w:t>
      </w:r>
    </w:p>
    <w:p>
      <w:pPr>
        <w:spacing w:after="0" w:line="9" w:lineRule="exact"/>
        <w:rPr>
          <w:rFonts w:ascii="Times New Roman" w:cs="Times New Roman" w:eastAsia="Times New Roman" w:hAnsi="Times New Roman"/>
          <w:sz w:val="18"/>
          <w:szCs w:val="18"/>
          <w:b w:val="1"/>
          <w:bCs w:val="1"/>
          <w:color w:val="auto"/>
        </w:rPr>
      </w:pPr>
    </w:p>
    <w:p>
      <w:pPr>
        <w:ind w:left="600" w:hanging="208"/>
        <w:spacing w:after="0"/>
        <w:tabs>
          <w:tab w:leader="none" w:pos="6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Media margin of $29.7 million, up 39% over Q3 2019 and representing 37.9% of revenue</w:t>
      </w:r>
    </w:p>
    <w:p>
      <w:pPr>
        <w:spacing w:after="0" w:line="9" w:lineRule="exact"/>
        <w:rPr>
          <w:rFonts w:ascii="Times New Roman" w:cs="Times New Roman" w:eastAsia="Times New Roman" w:hAnsi="Times New Roman"/>
          <w:sz w:val="18"/>
          <w:szCs w:val="18"/>
          <w:b w:val="1"/>
          <w:bCs w:val="1"/>
          <w:color w:val="auto"/>
        </w:rPr>
      </w:pPr>
    </w:p>
    <w:p>
      <w:pPr>
        <w:ind w:left="600" w:hanging="208"/>
        <w:spacing w:after="0"/>
        <w:tabs>
          <w:tab w:leader="none" w:pos="6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Adjusted EBITDA of $11.6 million, up 167% over Q3 2019 and representing 14.8% of revenue</w:t>
      </w:r>
    </w:p>
    <w:p>
      <w:pPr>
        <w:spacing w:after="0" w:line="9" w:lineRule="exact"/>
        <w:rPr>
          <w:rFonts w:ascii="Times New Roman" w:cs="Times New Roman" w:eastAsia="Times New Roman" w:hAnsi="Times New Roman"/>
          <w:sz w:val="18"/>
          <w:szCs w:val="18"/>
          <w:b w:val="1"/>
          <w:bCs w:val="1"/>
          <w:color w:val="auto"/>
        </w:rPr>
      </w:pPr>
    </w:p>
    <w:p>
      <w:pPr>
        <w:ind w:left="600" w:hanging="208"/>
        <w:spacing w:after="0"/>
        <w:tabs>
          <w:tab w:leader="none" w:pos="6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Adjusted net income of $6.3 million, or $0.08 per share</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York, NY – October 29, 2020 </w:t>
      </w:r>
      <w:r>
        <w:rPr>
          <w:rFonts w:ascii="Times New Roman" w:cs="Times New Roman" w:eastAsia="Times New Roman" w:hAnsi="Times New Roman"/>
          <w:sz w:val="18"/>
          <w:szCs w:val="18"/>
          <w:color w:val="auto"/>
        </w:rPr>
        <w:t>– Fluent, Inc. (NASDAQ: FLNT), a leading data-driven performance marketing company, today reported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third quarter ended 2020.</w:t>
      </w:r>
    </w:p>
    <w:p>
      <w:pPr>
        <w:spacing w:after="0" w:line="15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Ryan Schulke, Fluent’s Chief Executive Officer, commented, "We are pleased to post a solid third quarter in terms of performance and results, as we continue to leverage and expand our business and performance marketplace, as well as evolve best practices for the long term.”</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“Innovation was an important theme underpinning the quarter’s results, particularly relating to Fluent’s product and platform, which we see as a reflection of our team’s agility and adaptability through these highly unusual times. I again want to thank all of our employees for their exceptional work under the most difficult of circumstances and to reiterate that Fluent remains resilient and steadfast in striving to support our colleagues, clients, consumers and communities.”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Financial Summary</w:t>
      </w:r>
    </w:p>
    <w:p>
      <w:pPr>
        <w:spacing w:after="0" w:line="229" w:lineRule="exact"/>
        <w:rPr>
          <w:sz w:val="20"/>
          <w:szCs w:val="20"/>
          <w:color w:val="auto"/>
        </w:rPr>
      </w:pPr>
    </w:p>
    <w:p>
      <w:pPr>
        <w:ind w:left="260" w:hanging="23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2020 revenue of $78.3 million, up 21% over Q3 2019</w:t>
      </w:r>
    </w:p>
    <w:p>
      <w:pPr>
        <w:spacing w:after="0" w:line="198" w:lineRule="exact"/>
        <w:rPr>
          <w:rFonts w:ascii="Times New Roman" w:cs="Times New Roman" w:eastAsia="Times New Roman" w:hAnsi="Times New Roman"/>
          <w:sz w:val="18"/>
          <w:szCs w:val="18"/>
          <w:color w:val="auto"/>
        </w:rPr>
      </w:pPr>
    </w:p>
    <w:p>
      <w:pPr>
        <w:ind w:left="260" w:hanging="23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$1.2 or $0.01 per share, compared to net loss of $4.5 million, or $0.06 per share, in Q3 2019</w:t>
      </w:r>
    </w:p>
    <w:p>
      <w:pPr>
        <w:spacing w:after="0" w:line="198" w:lineRule="exact"/>
        <w:rPr>
          <w:rFonts w:ascii="Times New Roman" w:cs="Times New Roman" w:eastAsia="Times New Roman" w:hAnsi="Times New Roman"/>
          <w:sz w:val="18"/>
          <w:szCs w:val="18"/>
          <w:color w:val="auto"/>
        </w:rPr>
      </w:pPr>
    </w:p>
    <w:p>
      <w:pPr>
        <w:ind w:left="260" w:hanging="23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margin of $29.7 million, an increase of 39% over Q3 2019 and representing 37.9% of revenue</w:t>
      </w:r>
    </w:p>
    <w:p>
      <w:pPr>
        <w:spacing w:after="0" w:line="198" w:lineRule="exact"/>
        <w:rPr>
          <w:rFonts w:ascii="Times New Roman" w:cs="Times New Roman" w:eastAsia="Times New Roman" w:hAnsi="Times New Roman"/>
          <w:sz w:val="18"/>
          <w:szCs w:val="18"/>
          <w:color w:val="auto"/>
        </w:rPr>
      </w:pPr>
    </w:p>
    <w:p>
      <w:pPr>
        <w:ind w:left="260" w:hanging="23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$11.6 million, an increase of 167% over Q3 2019 and representing 14.8% of revenue</w:t>
      </w:r>
    </w:p>
    <w:p>
      <w:pPr>
        <w:spacing w:after="0" w:line="198" w:lineRule="exact"/>
        <w:rPr>
          <w:rFonts w:ascii="Times New Roman" w:cs="Times New Roman" w:eastAsia="Times New Roman" w:hAnsi="Times New Roman"/>
          <w:sz w:val="18"/>
          <w:szCs w:val="18"/>
          <w:color w:val="auto"/>
        </w:rPr>
      </w:pPr>
    </w:p>
    <w:p>
      <w:pPr>
        <w:ind w:left="260" w:hanging="23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of $6.3 million, or $0.08 per share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margin, adjusted EBITDA and adjusted net income (loss) are non-GAAP financial measures, as defined and reconciled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left="480" w:right="180" w:hanging="452"/>
        <w:spacing w:after="0" w:line="282" w:lineRule="auto"/>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indicators for Q4 2020 point to seasonal lift, albeit with visibility constrained by unique circumstances regarding the election, the COVID-19 pandemic and holiday shopping patterns.</w:t>
      </w:r>
    </w:p>
    <w:p>
      <w:pPr>
        <w:spacing w:after="0" w:line="13" w:lineRule="exact"/>
        <w:rPr>
          <w:rFonts w:ascii="Times New Roman" w:cs="Times New Roman" w:eastAsia="Times New Roman" w:hAnsi="Times New Roman"/>
          <w:sz w:val="18"/>
          <w:szCs w:val="18"/>
          <w:color w:val="auto"/>
        </w:rPr>
      </w:pPr>
    </w:p>
    <w:p>
      <w:pPr>
        <w:ind w:left="480" w:right="320" w:hanging="452"/>
        <w:spacing w:after="0" w:line="282" w:lineRule="auto"/>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 &amp; Entertainment vertical remains the Company’s most significant growth driver, underpinned by direct relationships in the Streaming Services and Mobile Gaming categories.</w:t>
      </w:r>
    </w:p>
    <w:p>
      <w:pPr>
        <w:spacing w:after="0" w:line="13" w:lineRule="exact"/>
        <w:rPr>
          <w:rFonts w:ascii="Times New Roman" w:cs="Times New Roman" w:eastAsia="Times New Roman" w:hAnsi="Times New Roman"/>
          <w:sz w:val="18"/>
          <w:szCs w:val="18"/>
          <w:color w:val="auto"/>
        </w:rPr>
      </w:pPr>
    </w:p>
    <w:p>
      <w:pPr>
        <w:ind w:left="480" w:right="840" w:hanging="452"/>
        <w:spacing w:after="0" w:line="282" w:lineRule="auto"/>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2020 revenue from engaging consumers in international markets, primarily the UK, grew sequentially as compared with Q2 2020, and represented more than 5% of total company revenue in the quarter.</w:t>
      </w:r>
    </w:p>
    <w:p>
      <w:pPr>
        <w:spacing w:after="0" w:line="13" w:lineRule="exact"/>
        <w:rPr>
          <w:rFonts w:ascii="Times New Roman" w:cs="Times New Roman" w:eastAsia="Times New Roman" w:hAnsi="Times New Roman"/>
          <w:sz w:val="18"/>
          <w:szCs w:val="18"/>
          <w:color w:val="auto"/>
        </w:rPr>
      </w:pPr>
    </w:p>
    <w:p>
      <w:pPr>
        <w:ind w:left="480" w:right="480" w:hanging="450"/>
        <w:spacing w:after="0" w:line="282" w:lineRule="auto"/>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extraordinary challenges imposed by the global pandemic, the Company's business and operations have remained on solid footing.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379730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left="40" w:right="260"/>
        <w:spacing w:after="0" w:line="256" w:lineRule="auto"/>
        <w:rPr>
          <w:sz w:val="20"/>
          <w:szCs w:val="20"/>
          <w:color w:val="auto"/>
        </w:rPr>
      </w:pPr>
      <w:r>
        <w:rPr>
          <w:rFonts w:ascii="Times New Roman" w:cs="Times New Roman" w:eastAsia="Times New Roman" w:hAnsi="Times New Roman"/>
          <w:sz w:val="18"/>
          <w:szCs w:val="18"/>
          <w:color w:val="auto"/>
        </w:rPr>
        <w:t>Fluent, Inc. will host a conference call on Thursday, October 29, 2020 at 4:30 PM ET to discuss its 2020 third quarter financial results. To listen to the conference call on your telephone, please dial (888) 339-0797 for domestic callers, or (412) 317-5248 for international callers. To access the live audio webcast, visit the Fluent website at investors.fluentco.com. Please login at least 15 minutes prior to the start of the call to ensure adequate time for any downloads that may be required. Following completion of the earnings call, a recorded replay of the webcast will be available for those unable to participate. To listen to the telephone replay, please dial (877) 344-7529 or (412) 317-0088 with the replay passcode 10149165. The replay will also be available for one week on the Fluent website at investors.fluentco.com.</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About Fluent, Inc.</w:t>
      </w:r>
    </w:p>
    <w:p>
      <w:pPr>
        <w:spacing w:after="0" w:line="229" w:lineRule="exact"/>
        <w:rPr>
          <w:sz w:val="20"/>
          <w:szCs w:val="20"/>
          <w:color w:val="auto"/>
        </w:rPr>
      </w:pPr>
    </w:p>
    <w:p>
      <w:pPr>
        <w:jc w:val="both"/>
        <w:ind w:left="40" w:right="420"/>
        <w:spacing w:after="0" w:line="266" w:lineRule="auto"/>
        <w:rPr>
          <w:sz w:val="20"/>
          <w:szCs w:val="20"/>
          <w:color w:val="auto"/>
        </w:rPr>
      </w:pPr>
      <w:r>
        <w:rPr>
          <w:rFonts w:ascii="Times New Roman" w:cs="Times New Roman" w:eastAsia="Times New Roman" w:hAnsi="Times New Roman"/>
          <w:sz w:val="18"/>
          <w:szCs w:val="18"/>
          <w:color w:val="auto"/>
        </w:rPr>
        <w:t>Fluent (NASDAQ: FLNT) is a leading performance marketing company with expertise in creating meaningful connections between consumers and brands. Leveraging our proprietary first-party database of opted-in consumer profiles, Fluent drives intelligent growth strategies that deliver superior outcomes. Founded in 2010, the company is headquartered in New York City. For more information, visit www.fluentco.com.</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29" w:lineRule="exact"/>
        <w:rPr>
          <w:sz w:val="20"/>
          <w:szCs w:val="20"/>
          <w:color w:val="auto"/>
        </w:rPr>
      </w:pPr>
    </w:p>
    <w:p>
      <w:pPr>
        <w:ind w:left="40"/>
        <w:spacing w:after="0" w:line="252" w:lineRule="auto"/>
        <w:rPr>
          <w:sz w:val="20"/>
          <w:szCs w:val="20"/>
          <w:color w:val="auto"/>
        </w:rPr>
      </w:pPr>
      <w:r>
        <w:rPr>
          <w:rFonts w:ascii="Times New Roman" w:cs="Times New Roman" w:eastAsia="Times New Roman" w:hAnsi="Times New Roman"/>
          <w:sz w:val="18"/>
          <w:szCs w:val="18"/>
          <w:color w:val="auto"/>
        </w:rPr>
        <w:t>The matters contained in this press release may be considered to be “forward-looking statements” within the meaning of the Securities Act of 1933 and the Securities Exchange Act of 1934. Those statements include statements regarding the intent, belief or current expectations or anticipations of Fluent and members of our management team. Factors currently known to management that could cause actual results to differ materially from those in forward-looking statements include the following: compliance with a significant number of governmental laws and regulations, including those laws and regulations regarding privacy and data; failure to safeguard the personal information and other data contained in our database; unfavorable global economic conditions, including as a result of health and safety concerns around the ongoing COVID-19 pandemic; failure to compete effectively against other online marketing and advertising companies; dependence on third-party publishers, internet search providers and social media platforms for a significant portion of visitors to our websites; dependence on our key personnel; dependence on emails, text messages and telephone calls, among other channels, to reach users for marketing purposes; competition we face for web traffic; ability to compete and manage media costs in an industry characterized by rapidly-changing internet media and advertising technology, evolving industry standards, regulatory uncertainty, and changing user and client demands; liability related to actions of third-party publishers; limitations on our or our third-party publishers’ ability to collect and use data derived from user activities; ability to remain competitive with the shift of online interactions from computers to mobile devices; dependence on third-party service providers; management of the growth of our operations, including the integration of the AdParlor and Winopoly businesses and other acquired business units or personnel; management of unfavorable publicity and negative public perception about our industry; failure to meet our clients’ performance metrics or changing needs; risks associated with the expansion of our international operations; failure to detect click-through or other fraud on advertisements; achievement of some or all of the benefits that we expect to achieve as a stand-alone company; failure to adequately protect intellectual property rights or allegations of infringement of intellectual property rights; compliance with the covenants of our credit agreement; and the potential for failures in our internal control over financial reporting. These and additional factors to be considered are set forth under “Risk Factors” in our Annual Report on Form 10-K for the fiscal year ended December 31, 2019 and in our other filings with the Securities and Exchange Commission. Fluent undertakes no obligation to update or revise forward-looking statements to reflect changed assumptions, the occurrence of unanticipated events or changes to future operating results or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353695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260" w:top="576" w:right="4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FLUENT,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18,679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$334 and $1,967, respectively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60,915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81,515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55,603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164,774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305,313</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317,093</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21,574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20,358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52,227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44,098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106,156</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Contingencies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$0.0001 par value, 10,000,000 Shares authorized; Shares outstanding — 0 shares for both</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periods</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$0.0005 par value, 200,000,000 Shares authorized; Shares issued — 80,260,475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78,642,078, respectively; and Shares outstanding — 76,323,720 and 75,873,679, respectively</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 3,936,755 and 2,768,399 shares, respectively</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(8,184)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406,198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(185,087)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(187,116)</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305,313</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317,093</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FLUENT,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78,280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64,552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228,723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201,673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52,771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44,568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158,402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138,530</w:t>
            </w:r>
          </w:p>
        </w:tc>
      </w:tr>
      <w:tr>
        <w:trPr>
          <w:trHeight w:val="216"/>
        </w:trPr>
        <w:tc>
          <w:tcPr>
            <w:tcW w:w="59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2,925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9,209</w:t>
            </w:r>
          </w:p>
        </w:tc>
      </w:tr>
      <w:tr>
        <w:trPr>
          <w:trHeight w:val="216"/>
        </w:trPr>
        <w:tc>
          <w:tcPr>
            <w:tcW w:w="59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Product development </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3,355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6,485</w:t>
            </w:r>
          </w:p>
        </w:tc>
      </w:tr>
      <w:tr>
        <w:trPr>
          <w:trHeight w:val="216"/>
        </w:trPr>
        <w:tc>
          <w:tcPr>
            <w:tcW w:w="59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12,772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14,049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33,892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34,378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3,906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75,729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67,296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222,447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199,147</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2,551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(1,317)</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(5,264)</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1,169</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(4,463)</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(2,703)</w:t>
            </w:r>
          </w:p>
        </w:tc>
      </w:tr>
      <w:tr>
        <w:trPr>
          <w:trHeight w:val="197"/>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income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78,577,974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79,569,210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78,564,262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79,389,131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79,172,578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79,569,210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79,214,619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79,389,131</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Amounts include share-based compensation expense as follows: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6,398</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8,019</w:t>
            </w:r>
          </w:p>
        </w:tc>
      </w:tr>
      <w:tr>
        <w:trPr>
          <w:trHeight w:val="555"/>
        </w:trPr>
        <w:tc>
          <w:tcPr>
            <w:tcW w:w="59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FLUENT,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accrued compensation expense for Put/Call Consideration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bad debt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business acquisition:</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(14,096)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acquisition, net of cash acquired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(7,246)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(2,076)</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(11,209)</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(10,925)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(3,096)</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(12,715)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(8,947)</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16,874</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25,708</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ind w:left="8"/>
        <w:spacing w:after="0"/>
        <w:rPr>
          <w:sz w:val="20"/>
          <w:szCs w:val="20"/>
          <w:color w:val="auto"/>
        </w:rPr>
      </w:pPr>
      <w:r>
        <w:rPr>
          <w:rFonts w:ascii="Times New Roman" w:cs="Times New Roman" w:eastAsia="Times New Roman" w:hAnsi="Times New Roman"/>
          <w:sz w:val="18"/>
          <w:szCs w:val="18"/>
          <w:b w:val="1"/>
          <w:bCs w:val="1"/>
          <w:color w:val="auto"/>
        </w:rPr>
        <w:t>Definitions, Reconciliations and Uses of Non-GAAP Financial Measures</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following non-GAAP measures are used in this release:</w:t>
      </w:r>
    </w:p>
    <w:p>
      <w:pPr>
        <w:spacing w:after="0" w:line="225" w:lineRule="exact"/>
        <w:rPr>
          <w:sz w:val="20"/>
          <w:szCs w:val="20"/>
          <w:color w:val="auto"/>
        </w:rPr>
      </w:pPr>
    </w:p>
    <w:p>
      <w:pPr>
        <w:ind w:left="328" w:right="340"/>
        <w:spacing w:after="0" w:line="282" w:lineRule="auto"/>
        <w:rPr>
          <w:sz w:val="20"/>
          <w:szCs w:val="20"/>
          <w:color w:val="auto"/>
        </w:rPr>
      </w:pPr>
      <w:r>
        <w:rPr>
          <w:rFonts w:ascii="Times New Roman" w:cs="Times New Roman" w:eastAsia="Times New Roman" w:hAnsi="Times New Roman"/>
          <w:sz w:val="18"/>
          <w:szCs w:val="18"/>
          <w:color w:val="auto"/>
        </w:rPr>
        <w:t>Media margin is defined as revenue minus cost of revenue (exclusive of depreciation and amortization) attributable to variable costs paid for media and related expenses. Media margin is also presented as percentage of revenue.</w:t>
      </w:r>
    </w:p>
    <w:p>
      <w:pPr>
        <w:spacing w:after="0" w:line="162" w:lineRule="exact"/>
        <w:rPr>
          <w:sz w:val="20"/>
          <w:szCs w:val="20"/>
          <w:color w:val="auto"/>
        </w:rPr>
      </w:pPr>
    </w:p>
    <w:p>
      <w:pPr>
        <w:ind w:left="308" w:right="28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(loss) excluding (1) income taxes, (2) interest expense, net, (3) depreciation and amortization, (4) goodwill impairment, (5) write-off of long-lived assets, (6) accrued compensation expense for Put/Call Consideration, (7) share-based compensation expense, (8) acquisition-related costs, (9) restructuring and certain severance costs, (10) certain litigation and other related costs, and (11) one-time items.</w:t>
      </w:r>
    </w:p>
    <w:p>
      <w:pPr>
        <w:spacing w:after="0" w:line="180" w:lineRule="exact"/>
        <w:rPr>
          <w:sz w:val="20"/>
          <w:szCs w:val="20"/>
          <w:color w:val="auto"/>
        </w:rPr>
      </w:pPr>
    </w:p>
    <w:p>
      <w:pPr>
        <w:ind w:left="308" w:right="340"/>
        <w:spacing w:after="0" w:line="261" w:lineRule="auto"/>
        <w:rPr>
          <w:sz w:val="20"/>
          <w:szCs w:val="20"/>
          <w:color w:val="auto"/>
        </w:rPr>
      </w:pPr>
      <w:r>
        <w:rPr>
          <w:rFonts w:ascii="Times New Roman" w:cs="Times New Roman" w:eastAsia="Times New Roman" w:hAnsi="Times New Roman"/>
          <w:sz w:val="18"/>
          <w:szCs w:val="18"/>
          <w:color w:val="auto"/>
        </w:rPr>
        <w:t>Adjusted net income (loss) is defined as net income (loss) excluding (1) goodwill impairment, (2) write-off of long-lived assets, (3) accrued compensation expense for Put/Call Consideration, (4) share-based compensation expense, (5) acquisition-related costs, (6) restructuring and certain severance costs, (7) certain litigation and other related costs, and (8) one-time items. Adjusted net income (loss) is also presented on a per share (basic and diluted) basis.</w:t>
      </w:r>
    </w:p>
    <w:p>
      <w:pPr>
        <w:spacing w:after="0" w:line="180"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8"/>
          <w:szCs w:val="18"/>
          <w:color w:val="auto"/>
        </w:rPr>
        <w:t>Below is a reconciliation of media margin from net income (loss), which we believe is the most directly comparable GAAP measure.</w:t>
      </w:r>
    </w:p>
    <w:p>
      <w:pPr>
        <w:spacing w:after="0" w:line="221" w:lineRule="exact"/>
        <w:rPr>
          <w:sz w:val="20"/>
          <w:szCs w:val="20"/>
          <w:color w:val="auto"/>
        </w:rPr>
      </w:pPr>
    </w:p>
    <w:tbl>
      <w:tblPr>
        <w:tblLayout w:type="fixed"/>
        <w:tblInd w:w="28"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4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(4,463)</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4,182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5,264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3,906</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3,642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11,492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12,772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14,049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33,892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34,378</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3,355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9,201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6,485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2,925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2,717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8,643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9,209</w:t>
            </w:r>
          </w:p>
        </w:tc>
      </w:tr>
      <w:tr>
        <w:trPr>
          <w:trHeight w:val="216"/>
        </w:trPr>
        <w:tc>
          <w:tcPr>
            <w:tcW w:w="58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Non-media cost of revenue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4,173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8,088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4,159</w:t>
            </w: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Media margin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29,682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21,307</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78,409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67,302</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78,280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64,552</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228,723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201,673</w:t>
            </w: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 margin % of revenue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r>
    </w:tbl>
    <w:p>
      <w:pPr>
        <w:spacing w:after="0" w:line="198" w:lineRule="exact"/>
        <w:rPr>
          <w:sz w:val="20"/>
          <w:szCs w:val="20"/>
          <w:color w:val="auto"/>
        </w:rPr>
      </w:pPr>
    </w:p>
    <w:p>
      <w:pPr>
        <w:ind w:left="8" w:right="540" w:hanging="8"/>
        <w:spacing w:after="0" w:line="282" w:lineRule="auto"/>
        <w:tabs>
          <w:tab w:leader="none" w:pos="2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cost of revenue (exclusive of depreciation and amortization) not attributable to variable costs paid for media and related expenses.</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Below is a reconciliation of adjusted EBITDA from net income (loss), which we believe is the most directly comparable GAAP measure.</w:t>
      </w:r>
    </w:p>
    <w:p>
      <w:pPr>
        <w:spacing w:after="0" w:line="221" w:lineRule="exact"/>
        <w:rPr>
          <w:sz w:val="20"/>
          <w:szCs w:val="20"/>
          <w:color w:val="auto"/>
        </w:rPr>
      </w:pPr>
    </w:p>
    <w:tbl>
      <w:tblPr>
        <w:tblLayout w:type="fixed"/>
        <w:tblInd w:w="28"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1,169</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expense for Put/Call Consideration</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certain severance costs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litigation and other related costs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One-time items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11,606</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23,157</w:t>
            </w:r>
          </w:p>
        </w:tc>
      </w:tr>
      <w:tr>
        <w:trPr>
          <w:trHeight w:val="555"/>
        </w:trPr>
        <w:tc>
          <w:tcPr>
            <w:tcW w:w="59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8"/>
          </w:cols>
          <w:pgMar w:left="292" w:top="576" w:right="339" w:bottom="1440" w:gutter="0" w:footer="0" w:header="0"/>
        </w:sectPr>
      </w:pPr>
    </w:p>
    <w:bookmarkStart w:id="9" w:name="page10"/>
    <w:bookmarkEnd w:id="9"/>
    <w:p>
      <w:pPr>
        <w:ind w:right="560"/>
        <w:spacing w:after="0" w:line="282" w:lineRule="auto"/>
        <w:rPr>
          <w:sz w:val="20"/>
          <w:szCs w:val="20"/>
          <w:color w:val="auto"/>
        </w:rPr>
      </w:pPr>
      <w:r>
        <w:rPr>
          <w:rFonts w:ascii="Times New Roman" w:cs="Times New Roman" w:eastAsia="Times New Roman" w:hAnsi="Times New Roman"/>
          <w:sz w:val="18"/>
          <w:szCs w:val="18"/>
          <w:color w:val="auto"/>
        </w:rPr>
        <w:t>Below is a reconciliation of adjusted net income (loss) and adjusted net income (loss) per share from net income (loss), which we believe is the most directly comparable GAAP measure.</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expense for Put/Call Consideration</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certain severance costs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Certain litigation and other related costs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items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14,287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7,663</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net income (loss) per share:</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78,577,974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79,569,210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78,564,262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79,389,131</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79,172,578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79,569,210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79,214,619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79,389,131</w:t>
            </w:r>
          </w:p>
        </w:tc>
      </w:tr>
    </w:tbl>
    <w:p>
      <w:pPr>
        <w:spacing w:after="0" w:line="179"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We present media margin, adjusted EBITDA, adjusted net income (loss) and adjusted net income (loss) per share as supplemental measures of our financial and operating performance because we believe they provide useful information to investors. More specifically:</w:t>
      </w:r>
    </w:p>
    <w:p>
      <w:pPr>
        <w:spacing w:after="0" w:line="162" w:lineRule="exact"/>
        <w:rPr>
          <w:sz w:val="20"/>
          <w:szCs w:val="20"/>
          <w:color w:val="auto"/>
        </w:rPr>
      </w:pPr>
    </w:p>
    <w:p>
      <w:pPr>
        <w:ind w:left="460" w:right="320"/>
        <w:spacing w:after="0" w:line="256" w:lineRule="auto"/>
        <w:rPr>
          <w:sz w:val="20"/>
          <w:szCs w:val="20"/>
          <w:color w:val="auto"/>
        </w:rPr>
      </w:pPr>
      <w:r>
        <w:rPr>
          <w:rFonts w:ascii="Times New Roman" w:cs="Times New Roman" w:eastAsia="Times New Roman" w:hAnsi="Times New Roman"/>
          <w:sz w:val="18"/>
          <w:szCs w:val="18"/>
          <w:color w:val="auto"/>
        </w:rPr>
        <w:t>Media margin, as defined above, is a measure of the efficiency of the Company’s operating model. We use media margin and the related measure of media margin as a percentage of revenue as primary metrics to measure the financial return on our media and related costs, specifically to measure the degree by which the revenue generated from our digital marketing services exceeds the cost to attract the consumers to whom offers are made through our services. Media margin is used extensively by our management to manage our operating performance, including evaluating operational performance against budgeted media margin and understanding the efficiency of our media and related expenditures. We also use media margin for performance evaluations and compensation decisions regarding certain personnel.</w:t>
      </w:r>
    </w:p>
    <w:p>
      <w:pPr>
        <w:spacing w:after="0" w:line="187" w:lineRule="exact"/>
        <w:rPr>
          <w:sz w:val="20"/>
          <w:szCs w:val="20"/>
          <w:color w:val="auto"/>
        </w:rPr>
      </w:pPr>
    </w:p>
    <w:p>
      <w:pPr>
        <w:ind w:left="460" w:right="360"/>
        <w:spacing w:after="0" w:line="253" w:lineRule="auto"/>
        <w:rPr>
          <w:sz w:val="20"/>
          <w:szCs w:val="20"/>
          <w:color w:val="auto"/>
        </w:rPr>
      </w:pPr>
      <w:r>
        <w:rPr>
          <w:rFonts w:ascii="Times New Roman" w:cs="Times New Roman" w:eastAsia="Times New Roman" w:hAnsi="Times New Roman"/>
          <w:sz w:val="18"/>
          <w:szCs w:val="18"/>
          <w:color w:val="auto"/>
        </w:rPr>
        <w:t>Adjusted EBITDA, as defined above, is another primary metric by which we evaluate the operating performance of our business, on which certain operating expenditures and internal budgets are based and by which, in addition to media margin and other factors, our senior management is compensated. The first three adjustments represent the conventional definition of EBITDA, and the remaining adjustments are items recognized and recorded under GAAP in particular periods but might be viewed as not necessarily coinciding with the underlying business operations for the periods in which they are so recognized and recorded. These adjustments include certain severance costs associated with department-specific reorganizations and certain litigation and other related costs associated with legal matters outside the ordinary course of business. Items are considered one-time in nature if they are non-recurring, infrequent or unusual and have not occurred in the past two years or are not expected to recur in the next two years, in accordance with SEC rules. Adjusted EBITDA for the nine months ended September 30,</w:t>
      </w:r>
    </w:p>
    <w:p>
      <w:pPr>
        <w:spacing w:after="0" w:line="1" w:lineRule="exact"/>
        <w:rPr>
          <w:sz w:val="20"/>
          <w:szCs w:val="20"/>
          <w:color w:val="auto"/>
        </w:rPr>
      </w:pPr>
    </w:p>
    <w:p>
      <w:pPr>
        <w:ind w:left="460" w:right="420"/>
        <w:spacing w:after="0" w:line="260" w:lineRule="auto"/>
        <w:rPr>
          <w:sz w:val="20"/>
          <w:szCs w:val="20"/>
          <w:color w:val="auto"/>
        </w:rPr>
      </w:pPr>
      <w:r>
        <w:rPr>
          <w:rFonts w:ascii="Times New Roman" w:cs="Times New Roman" w:eastAsia="Times New Roman" w:hAnsi="Times New Roman"/>
          <w:sz w:val="18"/>
          <w:szCs w:val="18"/>
          <w:color w:val="auto"/>
        </w:rPr>
        <w:t>2019 excluded as one-time items $0.2 million of costs associated with the move of our corporate headquarters. There were no other adjustments for one-time items in the current period presented.</w:t>
      </w:r>
    </w:p>
    <w:p>
      <w:pPr>
        <w:spacing w:after="0" w:line="181" w:lineRule="exact"/>
        <w:rPr>
          <w:sz w:val="20"/>
          <w:szCs w:val="20"/>
          <w:color w:val="auto"/>
        </w:rPr>
      </w:pPr>
    </w:p>
    <w:p>
      <w:pPr>
        <w:ind w:left="460" w:right="580"/>
        <w:spacing w:after="0" w:line="256" w:lineRule="auto"/>
        <w:rPr>
          <w:sz w:val="20"/>
          <w:szCs w:val="20"/>
          <w:color w:val="auto"/>
        </w:rPr>
      </w:pPr>
      <w:r>
        <w:rPr>
          <w:rFonts w:ascii="Times New Roman" w:cs="Times New Roman" w:eastAsia="Times New Roman" w:hAnsi="Times New Roman"/>
          <w:sz w:val="18"/>
          <w:szCs w:val="18"/>
          <w:color w:val="auto"/>
        </w:rPr>
        <w:t>Adjusted net income (loss), as defined above, and the related measure of adjusted net income (loss) per share exclude certain items that are recognized and recorded under GAAP in particular periods but might be viewed as not necessarily coinciding with the underlying business operations for the periods in which they are so recognized and recorded. Adjusted net income for the nine months ended September 30, 2019 excluded as one-time items $0.2 million of costs associated with the move of our corporate headquarters. There were no other adjustments for one-time items in the current period presented. We believe adjusted net income affords investors a different view of the overall financial performance of the Company than adjusted EBITDA and the GAAP measure of net income.</w:t>
      </w:r>
    </w:p>
    <w:p>
      <w:pPr>
        <w:spacing w:after="0" w:line="187" w:lineRule="exact"/>
        <w:rPr>
          <w:sz w:val="20"/>
          <w:szCs w:val="20"/>
          <w:color w:val="auto"/>
        </w:rPr>
      </w:pPr>
    </w:p>
    <w:p>
      <w:pPr>
        <w:ind w:left="20" w:right="340"/>
        <w:spacing w:after="0" w:line="261" w:lineRule="auto"/>
        <w:rPr>
          <w:sz w:val="20"/>
          <w:szCs w:val="20"/>
          <w:color w:val="auto"/>
        </w:rPr>
      </w:pPr>
      <w:r>
        <w:rPr>
          <w:rFonts w:ascii="Times New Roman" w:cs="Times New Roman" w:eastAsia="Times New Roman" w:hAnsi="Times New Roman"/>
          <w:sz w:val="18"/>
          <w:szCs w:val="18"/>
          <w:color w:val="auto"/>
        </w:rPr>
        <w:t>Media margin, adjusted EBITDA, adjusted net income (loss) and adjusted net income (loss) per share are not intended to be performance measures that should be regarded as an alternative to, or more meaningful than, net income (loss) as indicators of operating performance. None of these metrics are presented as measures of liquidity. The way we measure media margin, adjusted EBITDA and adjusted net income (loss) may not be comparable to similarly titled measures presented by other companies and may not be identical to corresponding measures used in our various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348615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sectPr>
      </w:pPr>
    </w:p>
    <w:bookmarkStart w:id="10" w:name="page11"/>
    <w:bookmarkEnd w:id="10"/>
    <w:p>
      <w:pPr>
        <w:ind w:left="8"/>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Fluent, Inc.</w:t>
      </w:r>
    </w:p>
    <w:p>
      <w:pPr>
        <w:spacing w:after="0" w:line="9" w:lineRule="exact"/>
        <w:rPr>
          <w:sz w:val="20"/>
          <w:szCs w:val="20"/>
          <w:color w:val="auto"/>
        </w:rPr>
      </w:pPr>
    </w:p>
    <w:p>
      <w:pPr>
        <w:ind w:left="8" w:right="7779" w:hanging="8"/>
        <w:spacing w:after="0" w:line="290" w:lineRule="auto"/>
        <w:tabs>
          <w:tab w:leader="none" w:pos="44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310-2070 InvestorRelations@fluentco.com</w:t>
      </w:r>
    </w:p>
    <w:sectPr>
      <w:pgSz w:w="11900" w:h="16838" w:orient="portrait"/>
      <w:cols w:equalWidth="0" w:num="1">
        <w:col w:w="10167"/>
      </w:cols>
      <w:pgMar w:left="292"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2020-10-29T15:33:42Z</dcterms:created>
  <dcterms:modified xsi:type="dcterms:W3CDTF">2020-10-29T15:33:42Z</dcterms:modified>
</cp:coreProperties>
</file>