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828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82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Patrick Donald Huntley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FLUENT,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VESEY STREET,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Fluent,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544,508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14,286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5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Funded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12,502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Funded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14,286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-2351405</wp:posOffset>
            </wp:positionV>
            <wp:extent cx="2921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the pre-funded warrants on a cashless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pre-funded warrants were immediately exercisable after stockholder approval of the offering of the Issuer's pre-funded warrants, which approval was obtained on June 17,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pre-funded warrants terminated when exercised in full. The pre-funded warrants were exercised on June 23, 2026.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Donald Patrick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5387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2026-06-25T17:44:45Z</dcterms:created>
  <dcterms:modified xsi:type="dcterms:W3CDTF">2026-06-25T17:44:45Z</dcterms:modified>
</cp:coreProperties>
</file>