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8684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4895"/>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8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GLOBAL VALUE INVESTMENT CORP.</w:t>
              </w:r>
            </w:hyperlink>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gridSpan w:val="7"/>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FLNT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180" w:type="dxa"/>
            <w:vAlign w:val="bottom"/>
          </w:tcPr>
          <w:p>
            <w:pPr>
              <w:spacing w:after="0"/>
              <w:rPr>
                <w:sz w:val="5"/>
                <w:szCs w:val="5"/>
                <w:color w:val="auto"/>
              </w:rPr>
            </w:pPr>
          </w:p>
        </w:tc>
        <w:tc>
          <w:tcPr>
            <w:tcW w:w="1380" w:type="dxa"/>
            <w:vAlign w:val="bottom"/>
            <w:gridSpan w:val="4"/>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80" w:type="dxa"/>
            <w:vAlign w:val="bottom"/>
          </w:tcPr>
          <w:p>
            <w:pPr>
              <w:spacing w:after="0"/>
              <w:rPr>
                <w:sz w:val="9"/>
                <w:szCs w:val="9"/>
                <w:color w:val="auto"/>
              </w:rPr>
            </w:pPr>
          </w:p>
        </w:tc>
        <w:tc>
          <w:tcPr>
            <w:tcW w:w="1380" w:type="dxa"/>
            <w:vAlign w:val="bottom"/>
            <w:gridSpan w:val="4"/>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18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3"/>
                <w:szCs w:val="13"/>
                <w:color w:val="auto"/>
                <w:w w:val="93"/>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20" w:type="dxa"/>
            <w:vAlign w:val="bottom"/>
            <w:gridSpan w:val="10"/>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380" w:type="dxa"/>
            <w:vAlign w:val="bottom"/>
            <w:gridSpan w:val="9"/>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320" w:type="dxa"/>
            <w:vAlign w:val="bottom"/>
            <w:gridSpan w:val="10"/>
            <w:vMerge w:val="continue"/>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3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7"/>
                <w:szCs w:val="17"/>
                <w:color w:val="0000FF"/>
              </w:rPr>
              <w:t>MILWAUKEE   WI</w:t>
            </w:r>
          </w:p>
        </w:tc>
        <w:tc>
          <w:tcPr>
            <w:tcW w:w="11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7"/>
                <w:szCs w:val="17"/>
                <w:color w:val="0000FF"/>
              </w:rPr>
              <w:t>53202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3"/>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4"/>
                <w:szCs w:val="14"/>
                <w:color w:val="auto"/>
              </w:rPr>
            </w:pPr>
          </w:p>
        </w:tc>
        <w:tc>
          <w:tcPr>
            <w:tcW w:w="1080" w:type="dxa"/>
            <w:vAlign w:val="bottom"/>
            <w:gridSpan w:val="5"/>
          </w:tcPr>
          <w:p>
            <w:pPr>
              <w:ind w:left="1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6"/>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ind w:left="260"/>
              <w:spacing w:after="0"/>
              <w:rPr>
                <w:sz w:val="20"/>
                <w:szCs w:val="20"/>
                <w:color w:val="auto"/>
              </w:rPr>
            </w:pPr>
            <w:r>
              <w:rPr>
                <w:rFonts w:ascii="Arial" w:cs="Arial" w:eastAsia="Arial" w:hAnsi="Arial"/>
                <w:sz w:val="12"/>
                <w:szCs w:val="12"/>
                <w:b w:val="1"/>
                <w:bCs w:val="1"/>
                <w:color w:val="auto"/>
              </w:rPr>
              <w:t>6. Ownership</w:t>
            </w:r>
          </w:p>
        </w:tc>
        <w:tc>
          <w:tcPr>
            <w:tcW w:w="13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w w:val="95"/>
              </w:rPr>
              <w:t>Form: Direct</w:t>
            </w:r>
          </w:p>
        </w:tc>
        <w:tc>
          <w:tcPr>
            <w:tcW w:w="180" w:type="dxa"/>
            <w:vAlign w:val="bottom"/>
          </w:tcPr>
          <w:p>
            <w:pPr>
              <w:spacing w:after="0"/>
              <w:rPr>
                <w:sz w:val="11"/>
                <w:szCs w:val="11"/>
                <w:color w:val="auto"/>
              </w:rPr>
            </w:pPr>
          </w:p>
        </w:tc>
        <w:tc>
          <w:tcPr>
            <w:tcW w:w="13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(D) or Indirect</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6"/>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3"/>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Global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7"/>
                <w:szCs w:val="17"/>
                <w:color w:val="auto"/>
              </w:rPr>
            </w:pPr>
          </w:p>
        </w:tc>
        <w:tc>
          <w:tcPr>
            <w:tcW w:w="130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0000FF"/>
              </w:rPr>
              <w:t>06/17/2026</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J</w:t>
            </w:r>
          </w:p>
        </w:tc>
        <w:tc>
          <w:tcPr>
            <w:tcW w:w="840" w:type="dxa"/>
            <w:vAlign w:val="bottom"/>
          </w:tcPr>
          <w:p>
            <w:pPr>
              <w:ind w:left="80"/>
              <w:spacing w:after="0" w:line="206" w:lineRule="exact"/>
              <w:rPr>
                <w:sz w:val="20"/>
                <w:szCs w:val="20"/>
                <w:color w:val="auto"/>
              </w:rPr>
            </w:pPr>
            <w:r>
              <w:rPr>
                <w:rFonts w:ascii="Times New Roman" w:cs="Times New Roman" w:eastAsia="Times New Roman" w:hAnsi="Times New Roman"/>
                <w:sz w:val="17"/>
                <w:szCs w:val="17"/>
                <w:color w:val="0000FF"/>
              </w:rPr>
              <w:t>30,096</w:t>
            </w:r>
            <w:r>
              <w:rPr>
                <w:rFonts w:ascii="Times New Roman" w:cs="Times New Roman" w:eastAsia="Times New Roman" w:hAnsi="Times New Roman"/>
                <w:sz w:val="21"/>
                <w:szCs w:val="21"/>
                <w:color w:val="008000"/>
                <w:vertAlign w:val="superscript"/>
              </w:rPr>
              <w:t>(1)</w:t>
            </w:r>
          </w:p>
        </w:tc>
        <w:tc>
          <w:tcPr>
            <w:tcW w:w="4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6"/>
              </w:rPr>
              <w:t>3,140,750</w:t>
            </w:r>
          </w:p>
        </w:tc>
        <w:tc>
          <w:tcPr>
            <w:tcW w:w="960" w:type="dxa"/>
            <w:vAlign w:val="bottom"/>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80" w:type="dxa"/>
            <w:vAlign w:val="bottom"/>
          </w:tcPr>
          <w:p>
            <w:pPr>
              <w:spacing w:after="0"/>
              <w:rPr>
                <w:sz w:val="17"/>
                <w:szCs w:val="17"/>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1"/>
                <w:szCs w:val="21"/>
                <w:color w:val="008000"/>
                <w:vertAlign w:val="superscript"/>
              </w:rPr>
              <w:t>(2)(3)(4)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9,385</w:t>
            </w:r>
          </w:p>
        </w:tc>
        <w:tc>
          <w:tcPr>
            <w:tcW w:w="960" w:type="dxa"/>
            <w:vAlign w:val="bottom"/>
            <w:tcBorders>
              <w:top w:val="single" w:sz="8" w:color="2C2C2C"/>
            </w:tcBorders>
          </w:tcPr>
          <w:p>
            <w:pPr>
              <w:ind w:left="58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gridSpan w:val="19"/>
          </w:tcPr>
          <w:p>
            <w:pPr>
              <w:ind w:left="42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Arial" w:cs="Arial" w:eastAsia="Arial" w:hAnsi="Arial"/>
                <w:sz w:val="12"/>
                <w:szCs w:val="12"/>
                <w:b w:val="1"/>
                <w:bCs w:val="1"/>
                <w:color w:val="auto"/>
                <w:w w:val="95"/>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10.</w:t>
            </w:r>
          </w:p>
        </w:tc>
        <w:tc>
          <w:tcPr>
            <w:tcW w:w="520" w:type="dxa"/>
            <w:vAlign w:val="bottom"/>
          </w:tcPr>
          <w:p>
            <w:pPr>
              <w:spacing w:after="0"/>
              <w:rPr>
                <w:sz w:val="14"/>
                <w:szCs w:val="14"/>
                <w:color w:val="auto"/>
              </w:rPr>
            </w:pPr>
          </w:p>
        </w:tc>
        <w:tc>
          <w:tcPr>
            <w:tcW w:w="86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6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tcPr>
          <w:p>
            <w:pPr>
              <w:ind w:left="10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10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Shares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78,425</w:t>
            </w: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jc w:val="center"/>
              <w:ind w:right="8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0.0005</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78,425</w:t>
            </w:r>
          </w:p>
        </w:tc>
        <w:tc>
          <w:tcPr>
            <w:tcW w:w="180" w:type="dxa"/>
            <w:vAlign w:val="bottom"/>
          </w:tcPr>
          <w:p>
            <w:pPr>
              <w:spacing w:after="0"/>
              <w:rPr>
                <w:sz w:val="12"/>
                <w:szCs w:val="12"/>
                <w:color w:val="auto"/>
              </w:rPr>
            </w:pPr>
          </w:p>
        </w:tc>
        <w:tc>
          <w:tcPr>
            <w:tcW w:w="5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ind w:left="10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Borders>
              <w:right w:val="single" w:sz="8" w:color="2C2C2C"/>
            </w:tcBorders>
            <w:gridSpan w:val="3"/>
          </w:tcPr>
          <w:p>
            <w:pPr>
              <w:ind w:left="20"/>
              <w:spacing w:after="0" w:line="65"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Borders>
              <w:right w:val="single" w:sz="8" w:color="2C2C2C"/>
            </w:tcBorders>
            <w:gridSpan w:val="3"/>
            <w:vMerge w:val="restart"/>
          </w:tcPr>
          <w:p>
            <w:pPr>
              <w:ind w:left="20"/>
              <w:spacing w:after="0" w:line="231" w:lineRule="exact"/>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ind w:right="18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84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78,425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78,425</w:t>
            </w:r>
          </w:p>
        </w:tc>
        <w:tc>
          <w:tcPr>
            <w:tcW w:w="18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ind w:left="10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Borders>
              <w:right w:val="single" w:sz="8" w:color="2C2C2C"/>
            </w:tcBorders>
            <w:gridSpan w:val="3"/>
          </w:tcPr>
          <w:p>
            <w:pPr>
              <w:ind w:left="20"/>
              <w:spacing w:after="0" w:line="65"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r>
        <w:trPr>
          <w:trHeight w:val="27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right w:val="single" w:sz="8" w:color="2C2C2C"/>
            </w:tcBorders>
            <w:gridSpan w:val="3"/>
          </w:tcPr>
          <w:p>
            <w:pPr>
              <w:ind w:left="20"/>
              <w:spacing w:after="0" w:line="231" w:lineRule="exact"/>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tcPr>
          <w:p>
            <w:pPr>
              <w:ind w:left="20"/>
              <w:spacing w:after="0" w:line="21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GLOBAL VALUE INVESTMENT CORP.</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53202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gridSpan w:val="2"/>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tcPr>
          <w:p>
            <w:pPr>
              <w:ind w:left="20"/>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GEYGAN JEFFREY RICHART</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-4993005</wp:posOffset>
            </wp:positionV>
            <wp:extent cx="29210"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6498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1433 N. WATER STREET</w:t>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620" w:type="dxa"/>
            <w:vAlign w:val="bottom"/>
            <w:gridSpan w:val="7"/>
          </w:tcPr>
          <w:p>
            <w:pPr>
              <w:ind w:left="20"/>
              <w:spacing w:after="0" w:line="218"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GEYGAN JAMES</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6"/>
              </w:rPr>
              <w:t>300 VESEY SREET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9TH FLOOR</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Wilke Stacy</w:t>
              </w:r>
            </w:hyperlink>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620" w:type="dxa"/>
            <w:vAlign w:val="bottom"/>
            <w:gridSpan w:val="7"/>
          </w:tcPr>
          <w:p>
            <w:pPr>
              <w:ind w:left="20"/>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Geygan Kathleen</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Rice Shawn G</w:t>
              </w:r>
            </w:hyperlink>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13050" cy="7576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3050" cy="75768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400" w:firstLine="1"/>
        <w:spacing w:after="0" w:line="253"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2026, the James P. Geygan, a director of the Issuer and the CEO and President of GVIC, received a grant of 30,096 restricted stock units ("RSUs") under the Issuer's 2022 Omnibus Equity Incentive Plan. The RSUs will vest in three equal annual installments, with the first installment vesting on June 17, 2027.</w:t>
      </w:r>
    </w:p>
    <w:p>
      <w:pPr>
        <w:spacing w:after="0" w:line="18" w:lineRule="exact"/>
        <w:rPr>
          <w:rFonts w:ascii="Times New Roman" w:cs="Times New Roman" w:eastAsia="Times New Roman" w:hAnsi="Times New Roman"/>
          <w:sz w:val="13"/>
          <w:szCs w:val="13"/>
          <w:color w:val="008000"/>
        </w:rPr>
      </w:pPr>
    </w:p>
    <w:p>
      <w:pPr>
        <w:ind w:left="20" w:firstLine="1"/>
        <w:spacing w:after="0" w:line="236"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one or more accounts managed indirectly by Global Value Investment Corporation or its subsidiary or its affiliated persons/entities (collectively, "GVIC"). GVIC may be deemed to have beneficial ownership of these securities because it serves as the investment manager and/or investment advisor to separately managed accounts, investment partnerships, and/or individuals. The reporting person disclaims beneficial ownership in the securities except to the extent of his pecuniary interest, if any, and this report shall not be deemed to be an admission that the reporting person is the beneficial owner of such securities for the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20" w:firstLine="1"/>
        <w:spacing w:after="0" w:line="270" w:lineRule="auto"/>
        <w:tabs>
          <w:tab w:leader="none" w:pos="14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addition to Global Value Investment Corp, a Delaware corporation ("GVIC"), this Form 4 is being filed jointly by Jeffrey R. Geygan, a citizen of the United States of America, James P. Geygan, a citizen of the United States of America, Stacy A. Wilke, a citizen of the United States of America, Kathleen M. Geygan, a citizen of the United States of America, and Shawn G. Rice, a citizen of the United States of America, each of whom has the same business address as GVIC. GVIC beneficially owns the shares of common stock, par value $0.0005 per share ("Common Stock"), of Fluent, Inc. reported on this Form 4.</w:t>
      </w:r>
    </w:p>
    <w:p>
      <w:pPr>
        <w:spacing w:after="0" w:line="9" w:lineRule="exact"/>
        <w:rPr>
          <w:rFonts w:ascii="Times New Roman" w:cs="Times New Roman" w:eastAsia="Times New Roman" w:hAnsi="Times New Roman"/>
          <w:sz w:val="12"/>
          <w:szCs w:val="12"/>
          <w:color w:val="008000"/>
        </w:rPr>
      </w:pPr>
    </w:p>
    <w:p>
      <w:pPr>
        <w:ind w:left="20" w:right="300" w:firstLine="1"/>
        <w:spacing w:after="0" w:line="253"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4(b)(iv), the entire amount of Common Stock held by GVIC is reported herein. Common Stock reported as indirectly owned by GVIC includes shares owned by Jeffrey R. Geygan, James P. Geygan, Stacy A. Wilke, Kathleen M. Geygan, and Shawn G. Rice.</w:t>
      </w:r>
    </w:p>
    <w:p>
      <w:pPr>
        <w:spacing w:after="0" w:line="18"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are exercisable following stockholder approval of the offering of the Pre-Funded Warrants on June 17, 2026.</w:t>
      </w:r>
    </w:p>
    <w:p>
      <w:pPr>
        <w:spacing w:after="0" w:line="43"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will terminate when exercised in full.</w:t>
      </w:r>
    </w:p>
    <w:p>
      <w:pPr>
        <w:spacing w:after="0" w:line="43"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are exercisable following stockholder approval of the offering of the Warrants on June 17, 2026.</w:t>
      </w:r>
    </w:p>
    <w:p>
      <w:pPr>
        <w:spacing w:after="0" w:line="43"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expire three years from the date of issuance.</w:t>
      </w:r>
    </w:p>
    <w:p>
      <w:pPr>
        <w:spacing w:after="0" w:line="5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Jeffrey R. Geygan</w:t>
            </w:r>
          </w:p>
        </w:tc>
        <w:tc>
          <w:tcPr>
            <w:tcW w:w="8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06/22/2026</w:t>
            </w:r>
          </w:p>
        </w:tc>
      </w:tr>
      <w:tr>
        <w:trPr>
          <w:trHeight w:val="20"/>
        </w:trPr>
        <w:tc>
          <w:tcPr>
            <w:tcW w:w="1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400" w:firstLine="1"/>
        <w:spacing w:after="0" w:line="334" w:lineRule="auto"/>
        <w:tabs>
          <w:tab w:leader="none" w:pos="15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255" w:right="599" w:bottom="8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13" Type="http://schemas.openxmlformats.org/officeDocument/2006/relationships/hyperlink" Target="http://www.sec.gov/cgi-bin/browse-edgar?action=getcompany&amp;CIK=0001569866" TargetMode="External"/><Relationship Id="rId14" Type="http://schemas.openxmlformats.org/officeDocument/2006/relationships/hyperlink" Target="http://www.sec.gov/cgi-bin/browse-edgar?action=getcompany&amp;CIK=0001460329" TargetMode="External"/><Relationship Id="rId15" Type="http://schemas.openxmlformats.org/officeDocument/2006/relationships/hyperlink" Target="http://www.sec.gov/cgi-bin/browse-edgar?action=getcompany&amp;CIK=0001733547" TargetMode="External"/><Relationship Id="rId17" Type="http://schemas.openxmlformats.org/officeDocument/2006/relationships/hyperlink" Target="http://www.sec.gov/cgi-bin/browse-edgar?action=getcompany&amp;CIK=0001734726" TargetMode="External"/><Relationship Id="rId18" Type="http://schemas.openxmlformats.org/officeDocument/2006/relationships/hyperlink" Target="http://www.sec.gov/cgi-bin/browse-edgar?action=getcompany&amp;CIK=0001865363" TargetMode="External"/><Relationship Id="rId19" Type="http://schemas.openxmlformats.org/officeDocument/2006/relationships/hyperlink" Target="http://www.sec.gov/cgi-bin/browse-edgar?action=getcompany&amp;CIK=0001865425" TargetMode="External"/><Relationship Id="rId20" Type="http://schemas.openxmlformats.org/officeDocument/2006/relationships/hyperlink" Target="http://www.sec.gov/cgi-bin/browse-edgar?action=getcompany&amp;CIK=0002007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2026-06-22T16:24:41Z</dcterms:created>
  <dcterms:modified xsi:type="dcterms:W3CDTF">2026-06-22T16:24:41Z</dcterms:modified>
</cp:coreProperties>
</file>